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图案的组织形式和表现方法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图案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经常接触图案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图案的组织形式和表现方法不太了解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了解并掌握</w:t>
            </w:r>
            <w:r>
              <w:rPr>
                <w:rFonts w:hint="eastAsia" w:ascii="黑体" w:hAnsi="黑体" w:eastAsia="黑体" w:cs="黑体"/>
                <w:lang w:eastAsia="zh-CN"/>
              </w:rPr>
              <w:t>图案的</w:t>
            </w:r>
            <w:r>
              <w:rPr>
                <w:rFonts w:hint="eastAsia" w:ascii="黑体" w:eastAsia="黑体"/>
                <w:szCs w:val="21"/>
                <w:lang w:eastAsia="zh-CN"/>
              </w:rPr>
              <w:t>组织形式和表现方法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sz w:val="21"/>
              </w:rPr>
              <w:t>提高造型设计能力及艺术审美能力</w:t>
            </w:r>
            <w:r>
              <w:rPr>
                <w:rFonts w:hint="eastAsia" w:ascii="黑体" w:hAnsi="黑体" w:eastAsia="黑体" w:cs="黑体"/>
              </w:rPr>
              <w:t>，为儿童画的教学打下基础。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组织形式。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藻井纹样。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表现手法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分析并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掌握图案的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组织形式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掌握藻井纹样的组织形式绘制步骤。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表现手法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</w:t>
            </w:r>
            <w:r>
              <w:rPr>
                <w:rFonts w:hint="eastAsia" w:ascii="黑体" w:eastAsia="黑体"/>
                <w:szCs w:val="21"/>
              </w:rPr>
              <w:t>造型能力。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eastAsia="黑体"/>
                <w:szCs w:val="21"/>
                <w:lang w:eastAsia="zh-CN"/>
              </w:rPr>
              <w:t>组织形式和表现方法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，了解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并掌握藻井纹样的组织形式和绘制步骤，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提高造型设计能力及艺术审美能力。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图案的组织形式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和表现方法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藻井纹样的绘制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图案的组织形式和表现方法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了解图案的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组织形式和表现方法的重要性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图案组织形式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独立纹样的组织形式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连续纹样的组织形式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藻井纹样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藻井纹样的概念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藻井纹样的组织形式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图案的表现手法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写实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夸张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省略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添加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象征</w:t>
            </w:r>
          </w:p>
          <w:p>
            <w:pPr>
              <w:numPr>
                <w:ilvl w:val="0"/>
                <w:numId w:val="16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变形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</w:t>
            </w:r>
            <w:r>
              <w:rPr>
                <w:rFonts w:hint="eastAsia" w:ascii="FZHTJW--GB1-0" w:hAnsi="FZHTJW--GB1-0" w:eastAsia="FZHTJW--GB1-0"/>
                <w:sz w:val="18"/>
              </w:rPr>
              <w:t>灵山圣会穹顶</w:t>
            </w: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</w:t>
            </w:r>
            <w:r>
              <w:rPr>
                <w:rFonts w:hint="eastAsia" w:ascii="FZHTJW--GB1-0" w:hAnsi="FZHTJW--GB1-0" w:eastAsia="FZHTJW--GB1-0"/>
                <w:sz w:val="18"/>
              </w:rPr>
              <w:t>藻井纹样</w:t>
            </w: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欣赏二方连续图案作品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</w:t>
            </w:r>
            <w:r>
              <w:rPr>
                <w:rFonts w:hint="eastAsia" w:ascii="FZHTJW--GB1-0" w:hAnsi="FZHTJW--GB1-0" w:eastAsia="FZHTJW--GB1-0"/>
                <w:sz w:val="18"/>
              </w:rPr>
              <w:t>适合纹样</w:t>
            </w: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</w:t>
            </w:r>
            <w:r>
              <w:rPr>
                <w:rFonts w:hint="eastAsia" w:ascii="FZHTJW--GB1-0" w:hAnsi="FZHTJW--GB1-0" w:eastAsia="FZHTJW--GB1-0"/>
                <w:sz w:val="18"/>
              </w:rPr>
              <w:t>综合图案</w:t>
            </w: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欣赏</w:t>
            </w:r>
            <w:r>
              <w:rPr>
                <w:rFonts w:hint="eastAsia" w:ascii="FZHTJW--GB1-0" w:hAnsi="FZHTJW--GB1-0" w:eastAsia="FZHTJW--GB1-0"/>
                <w:sz w:val="18"/>
              </w:rPr>
              <w:t>四方连续纹样</w:t>
            </w:r>
            <w:r>
              <w:rPr>
                <w:rFonts w:hint="eastAsia" w:ascii="FZHTJW--GB1-0" w:hAnsi="FZHTJW--GB1-0" w:eastAsia="FZHTJW--GB1-0"/>
                <w:sz w:val="18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图案作品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图案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运用所学内容进行二方连续纹样、四方连续纹样的设计。要求：构图合理、设计新颖，形式具有美感。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对一个写实物象进行夸张、变形。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运用所学内容进行适合纹样的设计。要求：根据外形进行纹样的合理设计，形式具有一定的美感。</w:t>
            </w:r>
          </w:p>
          <w:p>
            <w:pPr>
              <w:spacing w:beforeLines="0" w:afterLines="0"/>
              <w:jc w:val="left"/>
              <w:rPr>
                <w:rFonts w:ascii="FZSSJW--GB1-0" w:hAnsi="FZSSJW--GB1-0" w:eastAsia="FZSSJW--GB1-0"/>
              </w:rPr>
            </w:pPr>
            <w:r>
              <w:rPr>
                <w:rFonts w:hint="eastAsia" w:ascii="黑体" w:hAnsi="黑体" w:eastAsia="黑体" w:cs="黑体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运用本探寻所学图案知识进行藻井纹样的设计和绘制。要求：（1）构图合理，形式准确；（2）纹样具有装饰美感，符合形式美法则；（3）色调响亮，对比得当；（4）做工仔细，细节处理完整精细。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纹样设计符合要求规律，构图合理，造型优美，线条流畅，色彩鲜明，整体和谐，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纹样设计符合要求规律，构图合理，线条流畅，色彩鲜明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纹样设计符合要求规律，构图合理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纹样设计没有特点，不和谐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EC6CE"/>
    <w:multiLevelType w:val="singleLevel"/>
    <w:tmpl w:val="579EC6CE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EC6FA"/>
    <w:multiLevelType w:val="singleLevel"/>
    <w:tmpl w:val="579EC6FA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EC72E"/>
    <w:multiLevelType w:val="singleLevel"/>
    <w:tmpl w:val="579EC72E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579EC744"/>
    <w:multiLevelType w:val="singleLevel"/>
    <w:tmpl w:val="579EC74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79EC76D"/>
    <w:multiLevelType w:val="singleLevel"/>
    <w:tmpl w:val="579EC76D"/>
    <w:lvl w:ilvl="0" w:tentative="0">
      <w:start w:val="3"/>
      <w:numFmt w:val="chineseCounting"/>
      <w:suff w:val="nothing"/>
      <w:lvlText w:val="%1、"/>
      <w:lvlJc w:val="left"/>
    </w:lvl>
  </w:abstractNum>
  <w:abstractNum w:abstractNumId="20">
    <w:nsid w:val="579EC789"/>
    <w:multiLevelType w:val="singleLevel"/>
    <w:tmpl w:val="579EC78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06333745"/>
    <w:rsid w:val="0FC310E3"/>
    <w:rsid w:val="102C4425"/>
    <w:rsid w:val="11805961"/>
    <w:rsid w:val="13E75984"/>
    <w:rsid w:val="168A74B9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2EA040E5"/>
    <w:rsid w:val="300356F4"/>
    <w:rsid w:val="30A45AD9"/>
    <w:rsid w:val="343A43BC"/>
    <w:rsid w:val="351C012F"/>
    <w:rsid w:val="35DD56F1"/>
    <w:rsid w:val="36D750DB"/>
    <w:rsid w:val="38D43D73"/>
    <w:rsid w:val="398E1B28"/>
    <w:rsid w:val="3B99445D"/>
    <w:rsid w:val="41B63278"/>
    <w:rsid w:val="45A5723E"/>
    <w:rsid w:val="475D5424"/>
    <w:rsid w:val="49A16E33"/>
    <w:rsid w:val="4A824CCC"/>
    <w:rsid w:val="4E126066"/>
    <w:rsid w:val="4EE53B38"/>
    <w:rsid w:val="52B165D2"/>
    <w:rsid w:val="557D2797"/>
    <w:rsid w:val="55E340B1"/>
    <w:rsid w:val="57E013BB"/>
    <w:rsid w:val="57FB6AE7"/>
    <w:rsid w:val="5955699E"/>
    <w:rsid w:val="5A801DAC"/>
    <w:rsid w:val="5BF268BF"/>
    <w:rsid w:val="5C1C6F43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3F875AA"/>
    <w:rsid w:val="7696711C"/>
    <w:rsid w:val="7E291477"/>
    <w:rsid w:val="7F4D6A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2016-08-01T03:50:32Z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